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7A1" w:rsidRPr="005314AA" w:rsidRDefault="00C637A1" w:rsidP="00C637A1">
      <w:pPr>
        <w:jc w:val="center"/>
        <w:rPr>
          <w:rFonts w:ascii="黑体" w:eastAsia="黑体" w:hint="eastAsia"/>
          <w:b/>
          <w:bCs/>
          <w:sz w:val="32"/>
          <w:szCs w:val="32"/>
        </w:rPr>
      </w:pPr>
      <w:r w:rsidRPr="005314AA">
        <w:rPr>
          <w:rFonts w:ascii="黑体" w:eastAsia="黑体" w:hint="eastAsia"/>
          <w:b/>
          <w:bCs/>
          <w:sz w:val="32"/>
          <w:szCs w:val="32"/>
        </w:rPr>
        <w:t>朱</w:t>
      </w:r>
      <w:proofErr w:type="gramStart"/>
      <w:r w:rsidRPr="005314AA">
        <w:rPr>
          <w:rFonts w:ascii="黑体" w:eastAsia="黑体" w:hint="eastAsia"/>
          <w:b/>
          <w:bCs/>
          <w:sz w:val="32"/>
          <w:szCs w:val="32"/>
        </w:rPr>
        <w:t>泾</w:t>
      </w:r>
      <w:proofErr w:type="gramEnd"/>
      <w:r w:rsidRPr="005314AA">
        <w:rPr>
          <w:rFonts w:ascii="黑体" w:eastAsia="黑体" w:hint="eastAsia"/>
          <w:b/>
          <w:bCs/>
          <w:sz w:val="32"/>
          <w:szCs w:val="32"/>
        </w:rPr>
        <w:t>第二小学教育科研工作条例（修订稿）</w:t>
      </w:r>
    </w:p>
    <w:p w:rsidR="00C637A1" w:rsidRDefault="00C637A1" w:rsidP="00C637A1">
      <w:pPr>
        <w:jc w:val="center"/>
        <w:rPr>
          <w:rFonts w:hint="eastAsia"/>
          <w:b/>
          <w:bCs/>
        </w:rPr>
      </w:pPr>
    </w:p>
    <w:p w:rsidR="00C637A1" w:rsidRPr="005314AA" w:rsidRDefault="00C637A1" w:rsidP="00C637A1">
      <w:pPr>
        <w:spacing w:line="440" w:lineRule="exact"/>
        <w:jc w:val="center"/>
        <w:rPr>
          <w:rFonts w:ascii="仿宋_GB2312" w:eastAsia="仿宋_GB2312" w:hint="eastAsia"/>
          <w:b/>
          <w:bCs/>
          <w:sz w:val="24"/>
        </w:rPr>
      </w:pPr>
      <w:r w:rsidRPr="005314AA">
        <w:rPr>
          <w:rFonts w:ascii="仿宋_GB2312" w:eastAsia="仿宋_GB2312" w:hint="eastAsia"/>
          <w:b/>
          <w:bCs/>
          <w:sz w:val="24"/>
        </w:rPr>
        <w:t>一、总  则</w:t>
      </w:r>
    </w:p>
    <w:p w:rsidR="00C637A1" w:rsidRPr="005314AA" w:rsidRDefault="00C637A1" w:rsidP="00C637A1">
      <w:pPr>
        <w:spacing w:line="440" w:lineRule="exact"/>
        <w:rPr>
          <w:rFonts w:ascii="仿宋_GB2312" w:eastAsia="仿宋_GB2312" w:hint="eastAsia"/>
          <w:sz w:val="24"/>
        </w:rPr>
      </w:pPr>
      <w:r w:rsidRPr="005314AA">
        <w:rPr>
          <w:rFonts w:ascii="仿宋_GB2312" w:eastAsia="仿宋_GB2312" w:hint="eastAsia"/>
          <w:sz w:val="24"/>
        </w:rPr>
        <w:t xml:space="preserve">    1、为了保证学校教育科研工作的顺利开展，使教育科研工作做到有章可循，根据工作需要，制定本条例。</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2、教育科研工作是学校整体工作中的一个重要方面，保证教育科研工作的正常开展是学校各级领导、每个教师的共同责任。</w:t>
      </w:r>
    </w:p>
    <w:p w:rsidR="00C637A1" w:rsidRPr="005314AA" w:rsidRDefault="00C637A1" w:rsidP="00C637A1">
      <w:pPr>
        <w:spacing w:line="440" w:lineRule="exact"/>
        <w:ind w:firstLine="570"/>
        <w:rPr>
          <w:rFonts w:ascii="仿宋_GB2312" w:eastAsia="仿宋_GB2312" w:hint="eastAsia"/>
          <w:sz w:val="24"/>
        </w:rPr>
      </w:pPr>
    </w:p>
    <w:p w:rsidR="00C637A1" w:rsidRPr="005314AA" w:rsidRDefault="00C637A1" w:rsidP="00C637A1">
      <w:pPr>
        <w:spacing w:line="440" w:lineRule="exact"/>
        <w:jc w:val="center"/>
        <w:rPr>
          <w:rFonts w:ascii="仿宋_GB2312" w:eastAsia="仿宋_GB2312" w:hint="eastAsia"/>
          <w:sz w:val="24"/>
        </w:rPr>
      </w:pPr>
      <w:r w:rsidRPr="005314AA">
        <w:rPr>
          <w:rFonts w:ascii="仿宋_GB2312" w:eastAsia="仿宋_GB2312" w:hint="eastAsia"/>
          <w:b/>
          <w:bCs/>
          <w:sz w:val="24"/>
        </w:rPr>
        <w:t>二、组织体系</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3、学校成立教育科研领导小组，全面负责学校的教育科研工作。</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4、教育科研领导小组成员为5～6人，由学校行政领导组长。</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5、学校成立科研室，全面负责学校的教育科研工作。</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6、教育科研领导小组行政上接受学校领导班子的领导，业务上接受区教科室指导。</w:t>
      </w:r>
    </w:p>
    <w:p w:rsidR="00C637A1" w:rsidRPr="005314AA" w:rsidRDefault="00C637A1" w:rsidP="00C637A1">
      <w:pPr>
        <w:spacing w:line="440" w:lineRule="exact"/>
        <w:ind w:firstLine="570"/>
        <w:rPr>
          <w:rFonts w:ascii="仿宋_GB2312" w:eastAsia="仿宋_GB2312" w:hint="eastAsia"/>
          <w:sz w:val="24"/>
        </w:rPr>
      </w:pPr>
    </w:p>
    <w:p w:rsidR="00C637A1" w:rsidRPr="005314AA" w:rsidRDefault="00C637A1" w:rsidP="00C637A1">
      <w:pPr>
        <w:spacing w:line="440" w:lineRule="exact"/>
        <w:jc w:val="center"/>
        <w:rPr>
          <w:rFonts w:ascii="仿宋_GB2312" w:eastAsia="仿宋_GB2312" w:hint="eastAsia"/>
          <w:sz w:val="24"/>
        </w:rPr>
      </w:pPr>
      <w:r w:rsidRPr="005314AA">
        <w:rPr>
          <w:rFonts w:ascii="仿宋_GB2312" w:eastAsia="仿宋_GB2312" w:hint="eastAsia"/>
          <w:b/>
          <w:bCs/>
          <w:sz w:val="24"/>
        </w:rPr>
        <w:t>三、教育科研领导小组的职责</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7、在学校领导班子和区教科室的直接领导和指导下，全面负责学校的教育科研工作。</w:t>
      </w:r>
    </w:p>
    <w:p w:rsidR="00C637A1" w:rsidRPr="005314AA" w:rsidRDefault="00C637A1" w:rsidP="00C637A1">
      <w:pPr>
        <w:numPr>
          <w:ilvl w:val="0"/>
          <w:numId w:val="1"/>
        </w:numPr>
        <w:spacing w:line="440" w:lineRule="exact"/>
        <w:rPr>
          <w:rFonts w:ascii="仿宋_GB2312" w:eastAsia="仿宋_GB2312" w:hint="eastAsia"/>
          <w:sz w:val="24"/>
        </w:rPr>
      </w:pPr>
      <w:r w:rsidRPr="005314AA">
        <w:rPr>
          <w:rFonts w:ascii="仿宋_GB2312" w:eastAsia="仿宋_GB2312" w:hint="eastAsia"/>
          <w:sz w:val="24"/>
        </w:rPr>
        <w:t>负责教育科研知识、教育理论知识的普及；</w:t>
      </w:r>
    </w:p>
    <w:p w:rsidR="00C637A1" w:rsidRPr="005314AA" w:rsidRDefault="00C637A1" w:rsidP="00C637A1">
      <w:pPr>
        <w:numPr>
          <w:ilvl w:val="0"/>
          <w:numId w:val="1"/>
        </w:numPr>
        <w:spacing w:line="440" w:lineRule="exact"/>
        <w:rPr>
          <w:rFonts w:ascii="仿宋_GB2312" w:eastAsia="仿宋_GB2312" w:hint="eastAsia"/>
          <w:sz w:val="24"/>
        </w:rPr>
      </w:pPr>
      <w:r w:rsidRPr="005314AA">
        <w:rPr>
          <w:rFonts w:ascii="仿宋_GB2312" w:eastAsia="仿宋_GB2312" w:hint="eastAsia"/>
          <w:sz w:val="24"/>
        </w:rPr>
        <w:t>负责教育科研骨干有规划的培训；</w:t>
      </w:r>
    </w:p>
    <w:p w:rsidR="00C637A1" w:rsidRPr="005314AA" w:rsidRDefault="00C637A1" w:rsidP="00C637A1">
      <w:pPr>
        <w:numPr>
          <w:ilvl w:val="0"/>
          <w:numId w:val="1"/>
        </w:numPr>
        <w:spacing w:line="440" w:lineRule="exact"/>
        <w:rPr>
          <w:rFonts w:ascii="仿宋_GB2312" w:eastAsia="仿宋_GB2312" w:hint="eastAsia"/>
          <w:sz w:val="24"/>
        </w:rPr>
      </w:pPr>
      <w:r w:rsidRPr="005314AA">
        <w:rPr>
          <w:rFonts w:ascii="仿宋_GB2312" w:eastAsia="仿宋_GB2312" w:hint="eastAsia"/>
          <w:sz w:val="24"/>
        </w:rPr>
        <w:t>接受教师个人和群体的课题申报；</w:t>
      </w:r>
    </w:p>
    <w:p w:rsidR="00C637A1" w:rsidRPr="005314AA" w:rsidRDefault="00C637A1" w:rsidP="00C637A1">
      <w:pPr>
        <w:numPr>
          <w:ilvl w:val="0"/>
          <w:numId w:val="1"/>
        </w:numPr>
        <w:spacing w:line="440" w:lineRule="exact"/>
        <w:rPr>
          <w:rFonts w:ascii="仿宋_GB2312" w:eastAsia="仿宋_GB2312" w:hint="eastAsia"/>
          <w:sz w:val="24"/>
        </w:rPr>
      </w:pPr>
      <w:r w:rsidRPr="005314AA">
        <w:rPr>
          <w:rFonts w:ascii="仿宋_GB2312" w:eastAsia="仿宋_GB2312" w:hint="eastAsia"/>
          <w:sz w:val="24"/>
        </w:rPr>
        <w:t>负责校级课题的论证、立项、经费管理、指导研究和总结，进行科研成果鉴定、校级教科研成果评定；</w:t>
      </w:r>
    </w:p>
    <w:p w:rsidR="00C637A1" w:rsidRPr="005314AA" w:rsidRDefault="00C637A1" w:rsidP="00C637A1">
      <w:pPr>
        <w:numPr>
          <w:ilvl w:val="0"/>
          <w:numId w:val="1"/>
        </w:numPr>
        <w:spacing w:line="440" w:lineRule="exact"/>
        <w:rPr>
          <w:rFonts w:ascii="仿宋_GB2312" w:eastAsia="仿宋_GB2312" w:hint="eastAsia"/>
          <w:sz w:val="24"/>
        </w:rPr>
      </w:pPr>
      <w:r w:rsidRPr="005314AA">
        <w:rPr>
          <w:rFonts w:ascii="仿宋_GB2312" w:eastAsia="仿宋_GB2312" w:hint="eastAsia"/>
          <w:sz w:val="24"/>
        </w:rPr>
        <w:t>负责选送区级课题的申报、论证和区级成果的申报；</w:t>
      </w:r>
    </w:p>
    <w:p w:rsidR="00C637A1" w:rsidRPr="005314AA" w:rsidRDefault="00C637A1" w:rsidP="00C637A1">
      <w:pPr>
        <w:numPr>
          <w:ilvl w:val="0"/>
          <w:numId w:val="1"/>
        </w:numPr>
        <w:spacing w:line="440" w:lineRule="exact"/>
        <w:rPr>
          <w:rFonts w:ascii="仿宋_GB2312" w:eastAsia="仿宋_GB2312" w:hint="eastAsia"/>
          <w:sz w:val="24"/>
        </w:rPr>
      </w:pPr>
      <w:r w:rsidRPr="005314AA">
        <w:rPr>
          <w:rFonts w:ascii="仿宋_GB2312" w:eastAsia="仿宋_GB2312" w:hint="eastAsia"/>
          <w:sz w:val="24"/>
        </w:rPr>
        <w:t>负责学校教育科研资料的积累、归档。</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8、负责学校的教育科研工作的规划、计划、布置、检查、总结。</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9、教育科研领导小组应定期向学校领导班子汇报工作，提供教育科研工作的动态。</w:t>
      </w:r>
    </w:p>
    <w:p w:rsidR="00C637A1" w:rsidRPr="005314AA" w:rsidRDefault="00C637A1" w:rsidP="00C637A1">
      <w:pPr>
        <w:spacing w:line="440" w:lineRule="exact"/>
        <w:ind w:firstLine="570"/>
        <w:rPr>
          <w:rFonts w:ascii="仿宋_GB2312" w:eastAsia="仿宋_GB2312" w:hint="eastAsia"/>
          <w:sz w:val="24"/>
        </w:rPr>
      </w:pPr>
    </w:p>
    <w:p w:rsidR="00C637A1" w:rsidRPr="005314AA" w:rsidRDefault="00C637A1" w:rsidP="00C637A1">
      <w:pPr>
        <w:spacing w:line="440" w:lineRule="exact"/>
        <w:jc w:val="center"/>
        <w:rPr>
          <w:rFonts w:ascii="仿宋_GB2312" w:eastAsia="仿宋_GB2312" w:hint="eastAsia"/>
          <w:sz w:val="24"/>
        </w:rPr>
      </w:pPr>
      <w:r w:rsidRPr="005314AA">
        <w:rPr>
          <w:rFonts w:ascii="仿宋_GB2312" w:eastAsia="仿宋_GB2312" w:hint="eastAsia"/>
          <w:b/>
          <w:bCs/>
          <w:sz w:val="24"/>
        </w:rPr>
        <w:t>四、教育科研知识普及和骨干培训</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10、教育科研领导小组应定时、定点、定内容、定对象地进行教育科研知</w:t>
      </w:r>
      <w:r w:rsidRPr="005314AA">
        <w:rPr>
          <w:rFonts w:ascii="仿宋_GB2312" w:eastAsia="仿宋_GB2312" w:hint="eastAsia"/>
          <w:sz w:val="24"/>
        </w:rPr>
        <w:lastRenderedPageBreak/>
        <w:t>识和教育理论的普及，有规划地培养教育科研骨干教师。</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11、组织每位教师参加不同层次的教育科研知识、教育理论的普及学习，了解教科研动向，有规划地培养教育科研骨干，形成科研的中坚力量。</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12、教科研骨干的标准：</w:t>
      </w:r>
    </w:p>
    <w:p w:rsidR="00C637A1" w:rsidRPr="005314AA" w:rsidRDefault="00C637A1" w:rsidP="00C637A1">
      <w:pPr>
        <w:numPr>
          <w:ilvl w:val="0"/>
          <w:numId w:val="2"/>
        </w:numPr>
        <w:spacing w:line="440" w:lineRule="exact"/>
        <w:rPr>
          <w:rFonts w:ascii="仿宋_GB2312" w:eastAsia="仿宋_GB2312" w:hint="eastAsia"/>
          <w:sz w:val="24"/>
        </w:rPr>
      </w:pPr>
      <w:r w:rsidRPr="005314AA">
        <w:rPr>
          <w:rFonts w:ascii="仿宋_GB2312" w:eastAsia="仿宋_GB2312" w:hint="eastAsia"/>
          <w:sz w:val="24"/>
        </w:rPr>
        <w:t>比较系统地学习并掌握教育科研基本知识的和方法；</w:t>
      </w:r>
    </w:p>
    <w:p w:rsidR="00C637A1" w:rsidRPr="005314AA" w:rsidRDefault="00C637A1" w:rsidP="00C637A1">
      <w:pPr>
        <w:numPr>
          <w:ilvl w:val="0"/>
          <w:numId w:val="2"/>
        </w:numPr>
        <w:spacing w:line="440" w:lineRule="exact"/>
        <w:rPr>
          <w:rFonts w:ascii="仿宋_GB2312" w:eastAsia="仿宋_GB2312" w:hint="eastAsia"/>
          <w:sz w:val="24"/>
        </w:rPr>
      </w:pPr>
      <w:r w:rsidRPr="005314AA">
        <w:rPr>
          <w:rFonts w:ascii="仿宋_GB2312" w:eastAsia="仿宋_GB2312" w:hint="eastAsia"/>
          <w:sz w:val="24"/>
        </w:rPr>
        <w:t>承担或承担过校级或校级以上课题的研究工作。</w:t>
      </w:r>
    </w:p>
    <w:p w:rsidR="00C637A1" w:rsidRPr="005314AA" w:rsidRDefault="00C637A1" w:rsidP="00C637A1">
      <w:pPr>
        <w:spacing w:line="440" w:lineRule="exact"/>
        <w:ind w:left="570"/>
        <w:rPr>
          <w:rFonts w:ascii="仿宋_GB2312" w:eastAsia="仿宋_GB2312" w:hint="eastAsia"/>
          <w:sz w:val="24"/>
        </w:rPr>
      </w:pPr>
      <w:r w:rsidRPr="005314AA">
        <w:rPr>
          <w:rFonts w:ascii="仿宋_GB2312" w:eastAsia="仿宋_GB2312" w:hint="eastAsia"/>
          <w:sz w:val="24"/>
        </w:rPr>
        <w:t>13、学校每年将评选一次教育科研先进个人，以鼓励广大教师积极投身于学校教育科研，提高教育的质量。</w:t>
      </w:r>
    </w:p>
    <w:p w:rsidR="00C637A1" w:rsidRPr="005314AA" w:rsidRDefault="00C637A1" w:rsidP="00C637A1">
      <w:pPr>
        <w:spacing w:line="440" w:lineRule="exact"/>
        <w:ind w:left="570"/>
        <w:rPr>
          <w:rFonts w:ascii="仿宋_GB2312" w:eastAsia="仿宋_GB2312" w:hint="eastAsia"/>
          <w:sz w:val="24"/>
        </w:rPr>
      </w:pPr>
    </w:p>
    <w:p w:rsidR="00C637A1" w:rsidRPr="005314AA" w:rsidRDefault="00C637A1" w:rsidP="00C637A1">
      <w:pPr>
        <w:spacing w:line="440" w:lineRule="exact"/>
        <w:jc w:val="center"/>
        <w:rPr>
          <w:rFonts w:ascii="仿宋_GB2312" w:eastAsia="仿宋_GB2312" w:hint="eastAsia"/>
          <w:sz w:val="24"/>
        </w:rPr>
      </w:pPr>
      <w:r w:rsidRPr="005314AA">
        <w:rPr>
          <w:rFonts w:ascii="仿宋_GB2312" w:eastAsia="仿宋_GB2312" w:hint="eastAsia"/>
          <w:b/>
          <w:bCs/>
          <w:sz w:val="24"/>
        </w:rPr>
        <w:t>五、校级课题的确定程序</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14、由教师个人或教师群体提出申请，正确填写校级课题申报表，并准备答辩。</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15、教科研领导小组依据申报表的内容逐项进行论证。听取申报人的答辩，然后进行无记名多因素综合评估，视评估得分结果依次而定。</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16、校级课题分重点课题和</w:t>
      </w:r>
      <w:proofErr w:type="gramStart"/>
      <w:r w:rsidRPr="005314AA">
        <w:rPr>
          <w:rFonts w:ascii="仿宋_GB2312" w:eastAsia="仿宋_GB2312" w:hint="eastAsia"/>
          <w:sz w:val="24"/>
        </w:rPr>
        <w:t>一般课题</w:t>
      </w:r>
      <w:proofErr w:type="gramEnd"/>
      <w:r w:rsidRPr="005314AA">
        <w:rPr>
          <w:rFonts w:ascii="仿宋_GB2312" w:eastAsia="仿宋_GB2312" w:hint="eastAsia"/>
          <w:sz w:val="24"/>
        </w:rPr>
        <w:t>两类。校级重点课题一般每学年列1～5个，报学校领导班子批准后生效，列入学校工作。其中优秀课题将按分配名额向区教科室推荐，以争取列入区级、市级课题规划。</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17、学校为每个校级课题提供一定的研究经费，重点课题100元，</w:t>
      </w:r>
      <w:proofErr w:type="gramStart"/>
      <w:r w:rsidRPr="005314AA">
        <w:rPr>
          <w:rFonts w:ascii="仿宋_GB2312" w:eastAsia="仿宋_GB2312" w:hint="eastAsia"/>
          <w:sz w:val="24"/>
        </w:rPr>
        <w:t>一般课题</w:t>
      </w:r>
      <w:proofErr w:type="gramEnd"/>
      <w:r w:rsidRPr="005314AA">
        <w:rPr>
          <w:rFonts w:ascii="仿宋_GB2312" w:eastAsia="仿宋_GB2312" w:hint="eastAsia"/>
          <w:sz w:val="24"/>
        </w:rPr>
        <w:t>80元。同时，学校为课题研究人员发放教科研津贴，主要人员50元，辅助人员30元。课题研究经费和教科研津贴于课题研究完成后发放。</w:t>
      </w:r>
    </w:p>
    <w:p w:rsidR="00C637A1" w:rsidRPr="005314AA" w:rsidRDefault="00C637A1" w:rsidP="00C637A1">
      <w:pPr>
        <w:spacing w:line="440" w:lineRule="exact"/>
        <w:ind w:firstLine="570"/>
        <w:rPr>
          <w:rFonts w:ascii="仿宋_GB2312" w:eastAsia="仿宋_GB2312" w:hint="eastAsia"/>
          <w:sz w:val="24"/>
        </w:rPr>
      </w:pPr>
    </w:p>
    <w:p w:rsidR="00C637A1" w:rsidRPr="005314AA" w:rsidRDefault="00C637A1" w:rsidP="00C637A1">
      <w:pPr>
        <w:spacing w:line="440" w:lineRule="exact"/>
        <w:jc w:val="center"/>
        <w:rPr>
          <w:rFonts w:ascii="仿宋_GB2312" w:eastAsia="仿宋_GB2312" w:hint="eastAsia"/>
          <w:sz w:val="24"/>
        </w:rPr>
      </w:pPr>
      <w:r w:rsidRPr="005314AA">
        <w:rPr>
          <w:rFonts w:ascii="仿宋_GB2312" w:eastAsia="仿宋_GB2312" w:hint="eastAsia"/>
          <w:b/>
          <w:bCs/>
          <w:sz w:val="24"/>
        </w:rPr>
        <w:t>六、成果的申报及评定</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18、校级课题成果申报一般由承担研究的个人或课题组向学校教科研领导小组提出申请。学校每两年评一次校级教科研成果奖。</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19、成果评定由教育科研领导小组或邀请区教科室同志及有关专家教师参加成立评审小组，依据成果的先进性、科学性、操作性、指导意义和推广价值进行多因素综合评定，并由领导班子批准。校级优秀科研成果将向区级成果评审组织推荐，参加区、市两级科研成果评审。</w:t>
      </w:r>
    </w:p>
    <w:p w:rsidR="00C637A1" w:rsidRPr="005314AA" w:rsidRDefault="00C637A1" w:rsidP="00C637A1">
      <w:pPr>
        <w:spacing w:line="440" w:lineRule="exact"/>
        <w:ind w:firstLine="570"/>
        <w:rPr>
          <w:rFonts w:ascii="仿宋_GB2312" w:eastAsia="仿宋_GB2312" w:hint="eastAsia"/>
          <w:sz w:val="24"/>
        </w:rPr>
      </w:pPr>
    </w:p>
    <w:p w:rsidR="00C637A1" w:rsidRPr="005314AA" w:rsidRDefault="00C637A1" w:rsidP="00C637A1">
      <w:pPr>
        <w:spacing w:line="440" w:lineRule="exact"/>
        <w:jc w:val="center"/>
        <w:rPr>
          <w:rFonts w:ascii="仿宋_GB2312" w:eastAsia="仿宋_GB2312" w:hint="eastAsia"/>
          <w:sz w:val="24"/>
        </w:rPr>
      </w:pPr>
      <w:r w:rsidRPr="005314AA">
        <w:rPr>
          <w:rFonts w:ascii="仿宋_GB2312" w:eastAsia="仿宋_GB2312" w:hint="eastAsia"/>
          <w:b/>
          <w:bCs/>
          <w:sz w:val="24"/>
        </w:rPr>
        <w:t xml:space="preserve">七、奖  </w:t>
      </w:r>
      <w:proofErr w:type="gramStart"/>
      <w:r w:rsidRPr="005314AA">
        <w:rPr>
          <w:rFonts w:ascii="仿宋_GB2312" w:eastAsia="仿宋_GB2312" w:hint="eastAsia"/>
          <w:b/>
          <w:bCs/>
          <w:sz w:val="24"/>
        </w:rPr>
        <w:t>励</w:t>
      </w:r>
      <w:proofErr w:type="gramEnd"/>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20、</w:t>
      </w:r>
      <w:r>
        <w:rPr>
          <w:rFonts w:ascii="仿宋_GB2312" w:eastAsia="仿宋_GB2312" w:hint="eastAsia"/>
          <w:sz w:val="24"/>
        </w:rPr>
        <w:t>学校教师每学期按照要求撰写论文、案例、体会等，</w:t>
      </w:r>
      <w:proofErr w:type="gramStart"/>
      <w:r>
        <w:rPr>
          <w:rFonts w:ascii="仿宋_GB2312" w:eastAsia="仿宋_GB2312" w:hint="eastAsia"/>
          <w:sz w:val="24"/>
        </w:rPr>
        <w:t>获基本</w:t>
      </w:r>
      <w:proofErr w:type="gramEnd"/>
      <w:r>
        <w:rPr>
          <w:rFonts w:ascii="仿宋_GB2312" w:eastAsia="仿宋_GB2312" w:hint="eastAsia"/>
          <w:sz w:val="24"/>
        </w:rPr>
        <w:t>奖500元，</w:t>
      </w:r>
      <w:r>
        <w:rPr>
          <w:rFonts w:ascii="仿宋_GB2312" w:eastAsia="仿宋_GB2312" w:hint="eastAsia"/>
          <w:sz w:val="24"/>
        </w:rPr>
        <w:lastRenderedPageBreak/>
        <w:t>择优汇编于学校论文集中，每篇另获奖励100元。</w:t>
      </w:r>
      <w:r w:rsidRPr="005314AA">
        <w:rPr>
          <w:rFonts w:ascii="仿宋_GB2312" w:eastAsia="仿宋_GB2312" w:hint="eastAsia"/>
          <w:sz w:val="24"/>
        </w:rPr>
        <w:t>校级教科研成果</w:t>
      </w:r>
      <w:r>
        <w:rPr>
          <w:rFonts w:ascii="仿宋_GB2312" w:eastAsia="仿宋_GB2312" w:hint="eastAsia"/>
          <w:sz w:val="24"/>
        </w:rPr>
        <w:t>评比</w:t>
      </w:r>
      <w:r w:rsidRPr="005314AA">
        <w:rPr>
          <w:rFonts w:ascii="仿宋_GB2312" w:eastAsia="仿宋_GB2312" w:hint="eastAsia"/>
          <w:sz w:val="24"/>
        </w:rPr>
        <w:t>，一等奖</w:t>
      </w:r>
      <w:r>
        <w:rPr>
          <w:rFonts w:ascii="仿宋_GB2312" w:eastAsia="仿宋_GB2312" w:hint="eastAsia"/>
          <w:sz w:val="24"/>
        </w:rPr>
        <w:t>3</w:t>
      </w:r>
      <w:r w:rsidRPr="005314AA">
        <w:rPr>
          <w:rFonts w:ascii="仿宋_GB2312" w:eastAsia="仿宋_GB2312" w:hint="eastAsia"/>
          <w:sz w:val="24"/>
        </w:rPr>
        <w:t>00元；二等奖</w:t>
      </w:r>
      <w:r>
        <w:rPr>
          <w:rFonts w:ascii="仿宋_GB2312" w:eastAsia="仿宋_GB2312" w:hint="eastAsia"/>
          <w:sz w:val="24"/>
        </w:rPr>
        <w:t>20</w:t>
      </w:r>
      <w:r w:rsidRPr="005314AA">
        <w:rPr>
          <w:rFonts w:ascii="仿宋_GB2312" w:eastAsia="仿宋_GB2312" w:hint="eastAsia"/>
          <w:sz w:val="24"/>
        </w:rPr>
        <w:t>0元；三等奖</w:t>
      </w:r>
      <w:r>
        <w:rPr>
          <w:rFonts w:ascii="仿宋_GB2312" w:eastAsia="仿宋_GB2312" w:hint="eastAsia"/>
          <w:sz w:val="24"/>
        </w:rPr>
        <w:t>10</w:t>
      </w:r>
      <w:r w:rsidRPr="005314AA">
        <w:rPr>
          <w:rFonts w:ascii="仿宋_GB2312" w:eastAsia="仿宋_GB2312" w:hint="eastAsia"/>
          <w:sz w:val="24"/>
        </w:rPr>
        <w:t>0元</w:t>
      </w:r>
      <w:r>
        <w:rPr>
          <w:rFonts w:ascii="仿宋_GB2312" w:eastAsia="仿宋_GB2312" w:hint="eastAsia"/>
          <w:sz w:val="24"/>
        </w:rPr>
        <w:t>。</w:t>
      </w:r>
      <w:bookmarkStart w:id="0" w:name="_GoBack"/>
      <w:bookmarkEnd w:id="0"/>
      <w:r w:rsidRPr="005314AA">
        <w:rPr>
          <w:rFonts w:ascii="仿宋_GB2312" w:eastAsia="仿宋_GB2312" w:hint="eastAsia"/>
          <w:sz w:val="24"/>
        </w:rPr>
        <w:t>如无适当水平的成果，则各项等第奖均可暂缺。</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21、凡获奖励的教师均由校长授予获奖证书和奖金若干，成果等第列入本年度的教师评优条件之一，载入教师本人业务档案，并记入学校档案。</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22、为鼓励教师积极撰写教研论文，提高教育素养，学校将对在区、市等刊物上发表和获得区、市以上</w:t>
      </w:r>
      <w:proofErr w:type="gramStart"/>
      <w:r w:rsidRPr="005314AA">
        <w:rPr>
          <w:rFonts w:ascii="仿宋_GB2312" w:eastAsia="仿宋_GB2312" w:hint="eastAsia"/>
          <w:sz w:val="24"/>
        </w:rPr>
        <w:t>等第奖</w:t>
      </w:r>
      <w:proofErr w:type="gramEnd"/>
      <w:r w:rsidRPr="005314AA">
        <w:rPr>
          <w:rFonts w:ascii="仿宋_GB2312" w:eastAsia="仿宋_GB2312" w:hint="eastAsia"/>
          <w:sz w:val="24"/>
        </w:rPr>
        <w:t>的论文给予一定的鼓励。奖励办法参照《朱泾二小教育成果奖励条例》。</w:t>
      </w:r>
    </w:p>
    <w:p w:rsidR="00C637A1" w:rsidRPr="005314AA" w:rsidRDefault="00C637A1" w:rsidP="00C637A1">
      <w:pPr>
        <w:spacing w:line="440" w:lineRule="exact"/>
        <w:ind w:firstLine="570"/>
        <w:rPr>
          <w:rFonts w:ascii="仿宋_GB2312" w:eastAsia="仿宋_GB2312" w:hint="eastAsia"/>
          <w:sz w:val="24"/>
        </w:rPr>
      </w:pPr>
    </w:p>
    <w:p w:rsidR="00C637A1" w:rsidRPr="005314AA" w:rsidRDefault="00C637A1" w:rsidP="00C637A1">
      <w:pPr>
        <w:spacing w:line="440" w:lineRule="exact"/>
        <w:jc w:val="center"/>
        <w:rPr>
          <w:rFonts w:ascii="仿宋_GB2312" w:eastAsia="仿宋_GB2312" w:hint="eastAsia"/>
          <w:sz w:val="24"/>
        </w:rPr>
      </w:pPr>
      <w:r w:rsidRPr="005314AA">
        <w:rPr>
          <w:rFonts w:ascii="仿宋_GB2312" w:eastAsia="仿宋_GB2312" w:hint="eastAsia"/>
          <w:b/>
          <w:bCs/>
          <w:sz w:val="24"/>
        </w:rPr>
        <w:t>八、专题研究</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23、</w:t>
      </w:r>
      <w:proofErr w:type="gramStart"/>
      <w:r w:rsidRPr="005314AA">
        <w:rPr>
          <w:rFonts w:ascii="仿宋_GB2312" w:eastAsia="仿宋_GB2312" w:hint="eastAsia"/>
          <w:sz w:val="24"/>
        </w:rPr>
        <w:t>校教科研</w:t>
      </w:r>
      <w:proofErr w:type="gramEnd"/>
      <w:r w:rsidRPr="005314AA">
        <w:rPr>
          <w:rFonts w:ascii="仿宋_GB2312" w:eastAsia="仿宋_GB2312" w:hint="eastAsia"/>
          <w:sz w:val="24"/>
        </w:rPr>
        <w:t>领导小组应承</w:t>
      </w:r>
      <w:proofErr w:type="gramStart"/>
      <w:r w:rsidRPr="005314AA">
        <w:rPr>
          <w:rFonts w:ascii="仿宋_GB2312" w:eastAsia="仿宋_GB2312" w:hint="eastAsia"/>
          <w:sz w:val="24"/>
        </w:rPr>
        <w:t>担学校</w:t>
      </w:r>
      <w:proofErr w:type="gramEnd"/>
      <w:r w:rsidRPr="005314AA">
        <w:rPr>
          <w:rFonts w:ascii="仿宋_GB2312" w:eastAsia="仿宋_GB2312" w:hint="eastAsia"/>
          <w:sz w:val="24"/>
        </w:rPr>
        <w:t>重大改革的课题研究，此类课题列入校级课题规划。</w:t>
      </w:r>
    </w:p>
    <w:p w:rsidR="00C637A1" w:rsidRPr="005314AA" w:rsidRDefault="00C637A1" w:rsidP="00C637A1">
      <w:pPr>
        <w:spacing w:line="440" w:lineRule="exact"/>
        <w:jc w:val="center"/>
        <w:rPr>
          <w:rFonts w:ascii="仿宋_GB2312" w:eastAsia="仿宋_GB2312" w:hint="eastAsia"/>
          <w:sz w:val="24"/>
        </w:rPr>
      </w:pPr>
      <w:r w:rsidRPr="005314AA">
        <w:rPr>
          <w:rFonts w:ascii="仿宋_GB2312" w:eastAsia="仿宋_GB2312" w:hint="eastAsia"/>
          <w:b/>
          <w:bCs/>
          <w:sz w:val="24"/>
        </w:rPr>
        <w:t>九、情报资料咨询服务</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24、</w:t>
      </w:r>
      <w:proofErr w:type="gramStart"/>
      <w:r w:rsidRPr="005314AA">
        <w:rPr>
          <w:rFonts w:ascii="仿宋_GB2312" w:eastAsia="仿宋_GB2312" w:hint="eastAsia"/>
          <w:sz w:val="24"/>
        </w:rPr>
        <w:t>校教科研</w:t>
      </w:r>
      <w:proofErr w:type="gramEnd"/>
      <w:r w:rsidRPr="005314AA">
        <w:rPr>
          <w:rFonts w:ascii="仿宋_GB2312" w:eastAsia="仿宋_GB2312" w:hint="eastAsia"/>
          <w:sz w:val="24"/>
        </w:rPr>
        <w:t>领导小组要组织部分教师开展资料积累分析工作，为课题研究，为学校教改提供咨询服务，当好校长教育改革的参谋。</w:t>
      </w:r>
    </w:p>
    <w:p w:rsidR="00C637A1" w:rsidRPr="005314AA" w:rsidRDefault="00C637A1" w:rsidP="00C637A1">
      <w:pPr>
        <w:spacing w:line="440" w:lineRule="exact"/>
        <w:ind w:firstLine="570"/>
        <w:rPr>
          <w:rFonts w:ascii="仿宋_GB2312" w:eastAsia="仿宋_GB2312" w:hint="eastAsia"/>
          <w:sz w:val="24"/>
        </w:rPr>
      </w:pPr>
    </w:p>
    <w:p w:rsidR="00C637A1" w:rsidRPr="005314AA" w:rsidRDefault="00C637A1" w:rsidP="00C637A1">
      <w:pPr>
        <w:spacing w:line="440" w:lineRule="exact"/>
        <w:jc w:val="center"/>
        <w:rPr>
          <w:rFonts w:ascii="仿宋_GB2312" w:eastAsia="仿宋_GB2312" w:hint="eastAsia"/>
          <w:sz w:val="24"/>
        </w:rPr>
      </w:pPr>
      <w:r w:rsidRPr="005314AA">
        <w:rPr>
          <w:rFonts w:ascii="仿宋_GB2312" w:eastAsia="仿宋_GB2312" w:hint="eastAsia"/>
          <w:b/>
          <w:bCs/>
          <w:sz w:val="24"/>
        </w:rPr>
        <w:t>十、附  则</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25、</w:t>
      </w:r>
      <w:proofErr w:type="gramStart"/>
      <w:r w:rsidRPr="005314AA">
        <w:rPr>
          <w:rFonts w:ascii="仿宋_GB2312" w:eastAsia="仿宋_GB2312" w:hint="eastAsia"/>
          <w:sz w:val="24"/>
        </w:rPr>
        <w:t>校教科研</w:t>
      </w:r>
      <w:proofErr w:type="gramEnd"/>
      <w:r w:rsidRPr="005314AA">
        <w:rPr>
          <w:rFonts w:ascii="仿宋_GB2312" w:eastAsia="仿宋_GB2312" w:hint="eastAsia"/>
          <w:sz w:val="24"/>
        </w:rPr>
        <w:t>领导小组每学年的工作、经验总结、工作总结、校级课题规划、校级成果、每学年先进个人事迹材料要按时送区教师进修学院教科室归档备案。</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27、本条例内容如与学校其他规章制度不一致，则以本条例为准。</w:t>
      </w:r>
    </w:p>
    <w:p w:rsidR="00C637A1" w:rsidRPr="005314AA" w:rsidRDefault="00C637A1" w:rsidP="00C637A1">
      <w:pPr>
        <w:spacing w:line="440" w:lineRule="exact"/>
        <w:ind w:firstLine="570"/>
        <w:rPr>
          <w:rFonts w:ascii="仿宋_GB2312" w:eastAsia="仿宋_GB2312" w:hint="eastAsia"/>
          <w:sz w:val="24"/>
        </w:rPr>
      </w:pPr>
      <w:r w:rsidRPr="005314AA">
        <w:rPr>
          <w:rFonts w:ascii="仿宋_GB2312" w:eastAsia="仿宋_GB2312" w:hint="eastAsia"/>
          <w:sz w:val="24"/>
        </w:rPr>
        <w:t>28、本条例的解释权属金山区朱</w:t>
      </w:r>
      <w:proofErr w:type="gramStart"/>
      <w:r w:rsidRPr="005314AA">
        <w:rPr>
          <w:rFonts w:ascii="仿宋_GB2312" w:eastAsia="仿宋_GB2312" w:hint="eastAsia"/>
          <w:sz w:val="24"/>
        </w:rPr>
        <w:t>泾</w:t>
      </w:r>
      <w:proofErr w:type="gramEnd"/>
      <w:r w:rsidRPr="005314AA">
        <w:rPr>
          <w:rFonts w:ascii="仿宋_GB2312" w:eastAsia="仿宋_GB2312" w:hint="eastAsia"/>
          <w:sz w:val="24"/>
        </w:rPr>
        <w:t>第二小学教科研领导小组。</w:t>
      </w:r>
    </w:p>
    <w:p w:rsidR="00E1661C" w:rsidRPr="00C637A1" w:rsidRDefault="00E1661C"/>
    <w:sectPr w:rsidR="00E1661C" w:rsidRPr="00C637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AA75DB"/>
    <w:multiLevelType w:val="hybridMultilevel"/>
    <w:tmpl w:val="6234D84C"/>
    <w:lvl w:ilvl="0" w:tplc="6D5E3478">
      <w:start w:val="1"/>
      <w:numFmt w:val="decimal"/>
      <w:lvlText w:val="（%1）"/>
      <w:lvlJc w:val="left"/>
      <w:pPr>
        <w:tabs>
          <w:tab w:val="num" w:pos="1290"/>
        </w:tabs>
        <w:ind w:left="1290" w:hanging="720"/>
      </w:pPr>
      <w:rPr>
        <w:rFonts w:hint="eastAsia"/>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1">
    <w:nsid w:val="498C43D6"/>
    <w:multiLevelType w:val="hybridMultilevel"/>
    <w:tmpl w:val="74462A58"/>
    <w:lvl w:ilvl="0" w:tplc="4A283B5A">
      <w:start w:val="1"/>
      <w:numFmt w:val="decimal"/>
      <w:lvlText w:val="（%1）"/>
      <w:lvlJc w:val="left"/>
      <w:pPr>
        <w:tabs>
          <w:tab w:val="num" w:pos="1290"/>
        </w:tabs>
        <w:ind w:left="1290" w:hanging="720"/>
      </w:pPr>
      <w:rPr>
        <w:rFonts w:hint="eastAsia"/>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7A1"/>
    <w:rsid w:val="00024715"/>
    <w:rsid w:val="00065142"/>
    <w:rsid w:val="000757D7"/>
    <w:rsid w:val="00096F99"/>
    <w:rsid w:val="000C6A05"/>
    <w:rsid w:val="000D1E52"/>
    <w:rsid w:val="000E034E"/>
    <w:rsid w:val="00113976"/>
    <w:rsid w:val="001A642B"/>
    <w:rsid w:val="002E7FB2"/>
    <w:rsid w:val="00316DB3"/>
    <w:rsid w:val="003535D6"/>
    <w:rsid w:val="00480E99"/>
    <w:rsid w:val="00483612"/>
    <w:rsid w:val="004C6394"/>
    <w:rsid w:val="004F1CD6"/>
    <w:rsid w:val="005041D4"/>
    <w:rsid w:val="005168E2"/>
    <w:rsid w:val="0055065C"/>
    <w:rsid w:val="00595FD5"/>
    <w:rsid w:val="00637F53"/>
    <w:rsid w:val="00652DED"/>
    <w:rsid w:val="00652FB8"/>
    <w:rsid w:val="006A7DE5"/>
    <w:rsid w:val="0071001C"/>
    <w:rsid w:val="00774C9F"/>
    <w:rsid w:val="007A183E"/>
    <w:rsid w:val="00887C7B"/>
    <w:rsid w:val="008C691C"/>
    <w:rsid w:val="008F787A"/>
    <w:rsid w:val="009914C2"/>
    <w:rsid w:val="009A167B"/>
    <w:rsid w:val="009B4C66"/>
    <w:rsid w:val="009D644B"/>
    <w:rsid w:val="009F2392"/>
    <w:rsid w:val="00A202F2"/>
    <w:rsid w:val="00A60058"/>
    <w:rsid w:val="00A9004B"/>
    <w:rsid w:val="00B37DC6"/>
    <w:rsid w:val="00C05E73"/>
    <w:rsid w:val="00C360B9"/>
    <w:rsid w:val="00C637A1"/>
    <w:rsid w:val="00CC2717"/>
    <w:rsid w:val="00CC3DB2"/>
    <w:rsid w:val="00CC5BF0"/>
    <w:rsid w:val="00CF2736"/>
    <w:rsid w:val="00D410C8"/>
    <w:rsid w:val="00DA5057"/>
    <w:rsid w:val="00DF3F4E"/>
    <w:rsid w:val="00E1661C"/>
    <w:rsid w:val="00E17D8B"/>
    <w:rsid w:val="00EB5421"/>
    <w:rsid w:val="00ED29AD"/>
    <w:rsid w:val="00ED6892"/>
    <w:rsid w:val="00F34F53"/>
    <w:rsid w:val="00F37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7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7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268</Words>
  <Characters>1533</Characters>
  <Application>Microsoft Office Word</Application>
  <DocSecurity>0</DocSecurity>
  <Lines>12</Lines>
  <Paragraphs>3</Paragraphs>
  <ScaleCrop>false</ScaleCrop>
  <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2018-09-18T07:43:00Z</dcterms:created>
  <dcterms:modified xsi:type="dcterms:W3CDTF">2018-09-18T07:50:00Z</dcterms:modified>
</cp:coreProperties>
</file>